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4368" w14:textId="77777777" w:rsidR="0012242C" w:rsidRDefault="0012242C" w:rsidP="0012242C">
      <w:r>
        <w:rPr>
          <w:noProof/>
        </w:rPr>
        <w:drawing>
          <wp:inline distT="0" distB="0" distL="0" distR="0" wp14:anchorId="05A735F7" wp14:editId="7ACDF1AF">
            <wp:extent cx="2800350" cy="1571625"/>
            <wp:effectExtent l="0" t="0" r="0" b="0"/>
            <wp:docPr id="704070599" name="Picture 70407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0350" cy="1571625"/>
                    </a:xfrm>
                    <a:prstGeom prst="rect">
                      <a:avLst/>
                    </a:prstGeom>
                  </pic:spPr>
                </pic:pic>
              </a:graphicData>
            </a:graphic>
          </wp:inline>
        </w:drawing>
      </w:r>
      <w:r>
        <w:br/>
      </w:r>
    </w:p>
    <w:p w14:paraId="5229ACFE" w14:textId="77777777" w:rsidR="0012242C" w:rsidRPr="00D378A2" w:rsidRDefault="0012242C" w:rsidP="0012242C">
      <w:pPr>
        <w:rPr>
          <w:rFonts w:ascii="Calibri" w:hAnsi="Calibri" w:cs="Calibri"/>
          <w:b/>
          <w:bCs/>
          <w:sz w:val="32"/>
          <w:szCs w:val="32"/>
        </w:rPr>
      </w:pPr>
      <w:r w:rsidRPr="00D378A2">
        <w:rPr>
          <w:rFonts w:ascii="Calibri" w:hAnsi="Calibri" w:cs="Calibri"/>
          <w:b/>
          <w:bCs/>
          <w:color w:val="002060"/>
          <w:spacing w:val="34"/>
          <w:position w:val="-4"/>
          <w:sz w:val="32"/>
          <w:szCs w:val="32"/>
          <w:lang w:eastAsia="en-NZ"/>
        </w:rPr>
        <w:t>MEDIA RELEASE</w:t>
      </w:r>
    </w:p>
    <w:p w14:paraId="23DE7FAA" w14:textId="77777777" w:rsidR="0012242C" w:rsidRDefault="0012242C" w:rsidP="0012242C">
      <w:pPr>
        <w:spacing w:after="0" w:line="240" w:lineRule="auto"/>
        <w:rPr>
          <w:rFonts w:ascii="Arial" w:hAnsi="Arial" w:cs="Arial"/>
          <w:b/>
          <w:bCs/>
          <w:sz w:val="28"/>
          <w:szCs w:val="28"/>
          <w:lang w:eastAsia="en-NZ"/>
        </w:rPr>
      </w:pPr>
      <w:r>
        <w:rPr>
          <w:noProof/>
        </w:rPr>
        <w:drawing>
          <wp:anchor distT="0" distB="0" distL="114300" distR="114300" simplePos="0" relativeHeight="251659264" behindDoc="0" locked="0" layoutInCell="1" allowOverlap="1" wp14:anchorId="49BDC62D" wp14:editId="10689314">
            <wp:simplePos x="0" y="0"/>
            <wp:positionH relativeFrom="margin">
              <wp:align>left</wp:align>
            </wp:positionH>
            <wp:positionV relativeFrom="paragraph">
              <wp:posOffset>123190</wp:posOffset>
            </wp:positionV>
            <wp:extent cx="5731510" cy="47625"/>
            <wp:effectExtent l="0" t="0" r="254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7625"/>
                    </a:xfrm>
                    <a:prstGeom prst="rect">
                      <a:avLst/>
                    </a:prstGeom>
                    <a:noFill/>
                  </pic:spPr>
                </pic:pic>
              </a:graphicData>
            </a:graphic>
            <wp14:sizeRelH relativeFrom="margin">
              <wp14:pctWidth>0</wp14:pctWidth>
            </wp14:sizeRelH>
            <wp14:sizeRelV relativeFrom="page">
              <wp14:pctHeight>0</wp14:pctHeight>
            </wp14:sizeRelV>
          </wp:anchor>
        </w:drawing>
      </w:r>
    </w:p>
    <w:p w14:paraId="29D46C1C" w14:textId="77777777" w:rsidR="0012242C" w:rsidRDefault="0012242C" w:rsidP="0012242C">
      <w:pPr>
        <w:spacing w:after="0" w:line="240" w:lineRule="auto"/>
        <w:rPr>
          <w:rFonts w:ascii="Arial" w:hAnsi="Arial" w:cs="Arial"/>
          <w:b/>
          <w:bCs/>
          <w:sz w:val="24"/>
          <w:szCs w:val="24"/>
          <w:lang w:eastAsia="en-NZ"/>
        </w:rPr>
      </w:pPr>
    </w:p>
    <w:p w14:paraId="55442F5C" w14:textId="54CC3A73" w:rsidR="0012242C" w:rsidRDefault="00B52C20" w:rsidP="0012242C">
      <w:pPr>
        <w:rPr>
          <w:rFonts w:ascii="Calibri" w:hAnsi="Calibri" w:cs="Calibri"/>
          <w:sz w:val="24"/>
          <w:szCs w:val="24"/>
          <w:lang w:eastAsia="en-NZ"/>
        </w:rPr>
      </w:pPr>
      <w:r w:rsidRPr="00DD12D6">
        <w:rPr>
          <w:rFonts w:ascii="Calibri" w:hAnsi="Calibri" w:cs="Calibri"/>
          <w:sz w:val="24"/>
          <w:szCs w:val="24"/>
          <w:lang w:eastAsia="en-NZ"/>
        </w:rPr>
        <w:t>29</w:t>
      </w:r>
      <w:r>
        <w:rPr>
          <w:rFonts w:ascii="Calibri" w:hAnsi="Calibri" w:cs="Calibri"/>
          <w:color w:val="FF0000"/>
          <w:sz w:val="24"/>
          <w:szCs w:val="24"/>
          <w:lang w:eastAsia="en-NZ"/>
        </w:rPr>
        <w:t xml:space="preserve"> </w:t>
      </w:r>
      <w:r w:rsidR="0012242C">
        <w:rPr>
          <w:rFonts w:ascii="Calibri" w:hAnsi="Calibri" w:cs="Calibri"/>
          <w:sz w:val="24"/>
          <w:szCs w:val="24"/>
          <w:lang w:eastAsia="en-NZ"/>
        </w:rPr>
        <w:t>August</w:t>
      </w:r>
      <w:r w:rsidR="0012242C" w:rsidRPr="00F247D1">
        <w:rPr>
          <w:rFonts w:ascii="Calibri" w:hAnsi="Calibri" w:cs="Calibri"/>
          <w:sz w:val="24"/>
          <w:szCs w:val="24"/>
          <w:lang w:eastAsia="en-NZ"/>
        </w:rPr>
        <w:t xml:space="preserve"> 2025</w:t>
      </w:r>
    </w:p>
    <w:p w14:paraId="33D9B750" w14:textId="57312D71" w:rsidR="0012242C" w:rsidRPr="0082488A" w:rsidRDefault="0012242C" w:rsidP="0012242C">
      <w:pPr>
        <w:rPr>
          <w:rFonts w:ascii="Calibri" w:hAnsi="Calibri" w:cs="Calibri"/>
          <w:b/>
          <w:bCs/>
          <w:color w:val="002060"/>
          <w:sz w:val="48"/>
          <w:szCs w:val="48"/>
          <w:lang w:eastAsia="en-NZ"/>
        </w:rPr>
      </w:pPr>
      <w:r w:rsidRPr="0082488A">
        <w:rPr>
          <w:rFonts w:ascii="Calibri" w:hAnsi="Calibri" w:cs="Calibri"/>
          <w:b/>
          <w:bCs/>
          <w:color w:val="002060"/>
          <w:sz w:val="48"/>
          <w:szCs w:val="48"/>
          <w:lang w:eastAsia="en-NZ"/>
        </w:rPr>
        <w:t xml:space="preserve">Fines for environmental </w:t>
      </w:r>
      <w:r w:rsidR="007320C3">
        <w:rPr>
          <w:rFonts w:ascii="Calibri" w:hAnsi="Calibri" w:cs="Calibri"/>
          <w:b/>
          <w:bCs/>
          <w:color w:val="002060"/>
          <w:sz w:val="48"/>
          <w:szCs w:val="48"/>
          <w:lang w:eastAsia="en-NZ"/>
        </w:rPr>
        <w:t>breaches</w:t>
      </w:r>
      <w:r w:rsidRPr="0082488A">
        <w:rPr>
          <w:rFonts w:ascii="Calibri" w:hAnsi="Calibri" w:cs="Calibri"/>
          <w:b/>
          <w:bCs/>
          <w:color w:val="002060"/>
          <w:sz w:val="48"/>
          <w:szCs w:val="48"/>
          <w:lang w:eastAsia="en-NZ"/>
        </w:rPr>
        <w:t xml:space="preserve"> rising from Sept – ORC</w:t>
      </w:r>
    </w:p>
    <w:p w14:paraId="12D09867" w14:textId="77777777" w:rsidR="00D24A10" w:rsidRPr="00D24A10" w:rsidRDefault="00D24A10" w:rsidP="00D24A10">
      <w:pPr>
        <w:rPr>
          <w:rFonts w:ascii="Calibri" w:hAnsi="Calibri" w:cs="Calibri"/>
          <w:color w:val="002060"/>
          <w:sz w:val="24"/>
          <w:szCs w:val="24"/>
          <w:lang w:eastAsia="en-NZ"/>
        </w:rPr>
      </w:pPr>
      <w:r w:rsidRPr="0082488A">
        <w:rPr>
          <w:rFonts w:ascii="Calibri" w:hAnsi="Calibri" w:cs="Calibri"/>
          <w:color w:val="002060"/>
          <w:sz w:val="24"/>
          <w:szCs w:val="24"/>
          <w:lang w:eastAsia="en-NZ"/>
        </w:rPr>
        <w:t xml:space="preserve">Companies or individuals </w:t>
      </w:r>
      <w:r>
        <w:rPr>
          <w:rFonts w:ascii="Calibri" w:hAnsi="Calibri" w:cs="Calibri"/>
          <w:color w:val="002060"/>
          <w:sz w:val="24"/>
          <w:szCs w:val="24"/>
          <w:lang w:eastAsia="en-NZ"/>
        </w:rPr>
        <w:t>being fined for</w:t>
      </w:r>
      <w:r w:rsidRPr="0082488A">
        <w:rPr>
          <w:rFonts w:ascii="Calibri" w:hAnsi="Calibri" w:cs="Calibri"/>
          <w:color w:val="002060"/>
          <w:sz w:val="24"/>
          <w:szCs w:val="24"/>
          <w:lang w:eastAsia="en-NZ"/>
        </w:rPr>
        <w:t xml:space="preserve"> environmental breaches can expect to pay more shortly – with </w:t>
      </w:r>
      <w:r>
        <w:rPr>
          <w:rFonts w:ascii="Calibri" w:hAnsi="Calibri" w:cs="Calibri"/>
          <w:color w:val="002060"/>
          <w:sz w:val="24"/>
          <w:szCs w:val="24"/>
          <w:lang w:eastAsia="en-NZ"/>
        </w:rPr>
        <w:t xml:space="preserve">fine </w:t>
      </w:r>
      <w:r w:rsidRPr="00D24A10">
        <w:rPr>
          <w:rFonts w:ascii="Calibri" w:hAnsi="Calibri" w:cs="Calibri"/>
          <w:color w:val="002060"/>
          <w:sz w:val="24"/>
          <w:szCs w:val="24"/>
          <w:lang w:eastAsia="en-NZ"/>
        </w:rPr>
        <w:t>increases nationally ranging anywhere from 100% to 900%.</w:t>
      </w:r>
    </w:p>
    <w:p w14:paraId="67736C46" w14:textId="77777777" w:rsidR="00D24A10" w:rsidRPr="00D24A10" w:rsidRDefault="00D24A10" w:rsidP="00D24A10">
      <w:pPr>
        <w:rPr>
          <w:rFonts w:ascii="Calibri" w:hAnsi="Calibri" w:cs="Calibri"/>
          <w:color w:val="002060"/>
          <w:sz w:val="24"/>
          <w:szCs w:val="24"/>
          <w:lang w:eastAsia="en-NZ"/>
        </w:rPr>
      </w:pPr>
      <w:r w:rsidRPr="00D24A10">
        <w:rPr>
          <w:rFonts w:ascii="Calibri" w:hAnsi="Calibri" w:cs="Calibri"/>
          <w:color w:val="002060"/>
          <w:sz w:val="24"/>
          <w:szCs w:val="24"/>
          <w:lang w:eastAsia="en-NZ"/>
        </w:rPr>
        <w:t xml:space="preserve">These changes have been made by the Government and apply across New Zealand. </w:t>
      </w:r>
    </w:p>
    <w:p w14:paraId="520DB6DC" w14:textId="77777777" w:rsidR="00D24A10" w:rsidRPr="00D24A10" w:rsidRDefault="00D24A10" w:rsidP="00D24A10">
      <w:pPr>
        <w:rPr>
          <w:rFonts w:ascii="Calibri" w:hAnsi="Calibri" w:cs="Calibri"/>
          <w:color w:val="002060"/>
          <w:sz w:val="24"/>
          <w:szCs w:val="24"/>
          <w:lang w:eastAsia="en-NZ"/>
        </w:rPr>
      </w:pPr>
      <w:r w:rsidRPr="00D24A10">
        <w:rPr>
          <w:rFonts w:ascii="Calibri" w:hAnsi="Calibri" w:cs="Calibri"/>
          <w:color w:val="002060"/>
          <w:sz w:val="24"/>
          <w:szCs w:val="24"/>
          <w:lang w:eastAsia="en-NZ"/>
        </w:rPr>
        <w:t>The fines now distinguish between what can be imposed on an individual, and a company.</w:t>
      </w:r>
    </w:p>
    <w:p w14:paraId="732CF24E" w14:textId="08D95E48" w:rsidR="00D24A10" w:rsidRPr="00D24A10" w:rsidRDefault="00D24A10" w:rsidP="00D24A10">
      <w:pPr>
        <w:rPr>
          <w:rFonts w:ascii="Calibri" w:hAnsi="Calibri" w:cs="Calibri"/>
          <w:color w:val="002060"/>
          <w:sz w:val="24"/>
          <w:szCs w:val="24"/>
          <w:lang w:eastAsia="en-NZ"/>
        </w:rPr>
      </w:pPr>
      <w:r w:rsidRPr="00D24A10">
        <w:rPr>
          <w:rFonts w:ascii="Calibri" w:hAnsi="Calibri" w:cs="Calibri"/>
          <w:color w:val="002060"/>
          <w:sz w:val="24"/>
          <w:szCs w:val="24"/>
          <w:lang w:eastAsia="en-NZ"/>
        </w:rPr>
        <w:t>ORC’s Manager Compliance, Simon Wilson, highlighted that the Regulations had not been amended since being introduced in 1999.</w:t>
      </w:r>
    </w:p>
    <w:p w14:paraId="14E89E09" w14:textId="57F0F71C" w:rsidR="00B90740" w:rsidRDefault="00D24A10" w:rsidP="00B90740">
      <w:pPr>
        <w:rPr>
          <w:rFonts w:ascii="Calibri" w:hAnsi="Calibri" w:cs="Calibri"/>
          <w:color w:val="002060"/>
          <w:sz w:val="24"/>
          <w:szCs w:val="24"/>
          <w:lang w:eastAsia="en-NZ"/>
        </w:rPr>
      </w:pPr>
      <w:r w:rsidRPr="00D24A10">
        <w:rPr>
          <w:rFonts w:ascii="Calibri" w:hAnsi="Calibri" w:cs="Calibri"/>
          <w:color w:val="002060"/>
          <w:sz w:val="24"/>
          <w:szCs w:val="24"/>
          <w:lang w:eastAsia="en-NZ"/>
        </w:rPr>
        <w:t>“The</w:t>
      </w:r>
      <w:r w:rsidRPr="00D24A10">
        <w:rPr>
          <w:rFonts w:ascii="Calibri" w:hAnsi="Calibri" w:cs="Calibri"/>
          <w:color w:val="002060"/>
          <w:sz w:val="24"/>
          <w:szCs w:val="24"/>
          <w:lang w:eastAsia="en-NZ"/>
        </w:rPr>
        <w:t xml:space="preserve"> changes have been introduced nationally and the levels had not kept pace with inflation over the years. They now separate out the infringement fees to distinguish between individuals and companies,” Mr</w:t>
      </w:r>
      <w:r w:rsidRPr="0082488A">
        <w:rPr>
          <w:rFonts w:ascii="Calibri" w:hAnsi="Calibri" w:cs="Calibri"/>
          <w:color w:val="002060"/>
          <w:sz w:val="24"/>
          <w:szCs w:val="24"/>
          <w:lang w:eastAsia="en-NZ"/>
        </w:rPr>
        <w:t xml:space="preserve"> Wilson says.</w:t>
      </w:r>
    </w:p>
    <w:p w14:paraId="3B037FEF" w14:textId="77777777" w:rsidR="00B90740" w:rsidRPr="00BB6834" w:rsidRDefault="00B90740" w:rsidP="00B90740">
      <w:pPr>
        <w:rPr>
          <w:rFonts w:ascii="Calibri" w:hAnsi="Calibri" w:cs="Calibri"/>
          <w:sz w:val="24"/>
          <w:szCs w:val="24"/>
          <w:lang w:eastAsia="en-NZ"/>
        </w:rPr>
      </w:pPr>
      <w:r w:rsidRPr="00BB6834">
        <w:rPr>
          <w:rFonts w:ascii="Calibri" w:hAnsi="Calibri" w:cs="Calibri"/>
          <w:sz w:val="24"/>
          <w:szCs w:val="24"/>
          <w:lang w:eastAsia="en-NZ"/>
        </w:rPr>
        <w:t>In the 2024/25 financial year ORC issued 62 infringements.</w:t>
      </w:r>
    </w:p>
    <w:p w14:paraId="104FC44D" w14:textId="387FFE11" w:rsidR="00B90740" w:rsidRDefault="00B90740" w:rsidP="00B90740">
      <w:pPr>
        <w:rPr>
          <w:rFonts w:ascii="Calibri" w:hAnsi="Calibri" w:cs="Calibri"/>
          <w:lang w:eastAsia="en-NZ"/>
        </w:rPr>
      </w:pPr>
      <w:r>
        <w:rPr>
          <w:rFonts w:ascii="Calibri" w:hAnsi="Calibri" w:cs="Calibri"/>
          <w:lang w:eastAsia="en-NZ"/>
        </w:rPr>
        <w:t>Parliament amended</w:t>
      </w:r>
      <w:r w:rsidRPr="00442BA4">
        <w:rPr>
          <w:rFonts w:ascii="Calibri" w:hAnsi="Calibri" w:cs="Calibri"/>
          <w:lang w:eastAsia="en-NZ"/>
        </w:rPr>
        <w:t xml:space="preserve"> the Resource Management (Infringement Offences) Regulations 1999</w:t>
      </w:r>
      <w:r>
        <w:rPr>
          <w:rFonts w:ascii="Calibri" w:hAnsi="Calibri" w:cs="Calibri"/>
          <w:lang w:eastAsia="en-NZ"/>
        </w:rPr>
        <w:t xml:space="preserve"> in mid-August, with the new fines coming into effect from next </w:t>
      </w:r>
      <w:r w:rsidR="007C1E72">
        <w:rPr>
          <w:rFonts w:ascii="Calibri" w:hAnsi="Calibri" w:cs="Calibri"/>
          <w:lang w:eastAsia="en-NZ"/>
        </w:rPr>
        <w:t>week</w:t>
      </w:r>
      <w:r>
        <w:rPr>
          <w:rFonts w:ascii="Calibri" w:hAnsi="Calibri" w:cs="Calibri"/>
          <w:lang w:eastAsia="en-NZ"/>
        </w:rPr>
        <w:t>, 4 September.</w:t>
      </w:r>
    </w:p>
    <w:p w14:paraId="5F2A7498" w14:textId="77777777" w:rsidR="00B90740" w:rsidRDefault="00B90740" w:rsidP="00B90740">
      <w:pPr>
        <w:rPr>
          <w:rFonts w:ascii="Calibri" w:hAnsi="Calibri" w:cs="Calibri"/>
          <w:lang w:eastAsia="en-NZ"/>
        </w:rPr>
      </w:pPr>
      <w:r>
        <w:rPr>
          <w:rFonts w:ascii="Calibri" w:hAnsi="Calibri" w:cs="Calibri"/>
          <w:lang w:eastAsia="en-NZ"/>
        </w:rPr>
        <w:t>In March 2023, the issue was under review and defined by the Ministry for the Environment as there</w:t>
      </w:r>
      <w:r w:rsidRPr="003E7C7A">
        <w:rPr>
          <w:rFonts w:ascii="Calibri" w:hAnsi="Calibri" w:cs="Calibri"/>
          <w:lang w:eastAsia="en-NZ"/>
        </w:rPr>
        <w:t xml:space="preserve"> </w:t>
      </w:r>
      <w:r>
        <w:rPr>
          <w:rFonts w:ascii="Calibri" w:hAnsi="Calibri" w:cs="Calibri"/>
          <w:lang w:eastAsia="en-NZ"/>
        </w:rPr>
        <w:t xml:space="preserve">being </w:t>
      </w:r>
      <w:r w:rsidRPr="003E7C7A">
        <w:rPr>
          <w:rFonts w:ascii="Calibri" w:hAnsi="Calibri" w:cs="Calibri"/>
          <w:lang w:eastAsia="en-NZ"/>
        </w:rPr>
        <w:t xml:space="preserve">evidence that the existing </w:t>
      </w:r>
      <w:r>
        <w:rPr>
          <w:rFonts w:ascii="Calibri" w:hAnsi="Calibri" w:cs="Calibri"/>
          <w:lang w:eastAsia="en-NZ"/>
        </w:rPr>
        <w:t xml:space="preserve">set of </w:t>
      </w:r>
      <w:r w:rsidRPr="003E7C7A">
        <w:rPr>
          <w:rFonts w:ascii="Calibri" w:hAnsi="Calibri" w:cs="Calibri"/>
          <w:lang w:eastAsia="en-NZ"/>
        </w:rPr>
        <w:t xml:space="preserve">infringement fees </w:t>
      </w:r>
      <w:r>
        <w:rPr>
          <w:rFonts w:ascii="Calibri" w:hAnsi="Calibri" w:cs="Calibri"/>
          <w:lang w:eastAsia="en-NZ"/>
        </w:rPr>
        <w:t xml:space="preserve">were </w:t>
      </w:r>
      <w:r w:rsidRPr="003E7C7A">
        <w:rPr>
          <w:rFonts w:ascii="Calibri" w:hAnsi="Calibri" w:cs="Calibri"/>
          <w:lang w:eastAsia="en-NZ"/>
        </w:rPr>
        <w:t xml:space="preserve">now too low to be an effective deterrent against non-compliance. </w:t>
      </w:r>
    </w:p>
    <w:p w14:paraId="7AC7D504" w14:textId="77777777" w:rsidR="00B90740" w:rsidRDefault="00B90740" w:rsidP="00B90740">
      <w:pPr>
        <w:rPr>
          <w:rFonts w:ascii="Calibri" w:hAnsi="Calibri" w:cs="Calibri"/>
          <w:lang w:eastAsia="en-NZ"/>
        </w:rPr>
      </w:pPr>
      <w:r>
        <w:rPr>
          <w:rFonts w:ascii="Calibri" w:hAnsi="Calibri" w:cs="Calibri"/>
          <w:lang w:eastAsia="en-NZ"/>
        </w:rPr>
        <w:t>“</w:t>
      </w:r>
      <w:r w:rsidRPr="003E7C7A">
        <w:rPr>
          <w:rFonts w:ascii="Calibri" w:hAnsi="Calibri" w:cs="Calibri"/>
          <w:lang w:eastAsia="en-NZ"/>
        </w:rPr>
        <w:t>In many cases, the fee is less than the cost of complying or becoming authorised, meaning it can be cheaper to just pay an infringement notice if caught, rather than follow the rules in the first place. This discourages compliant behaviour</w:t>
      </w:r>
      <w:r>
        <w:rPr>
          <w:rFonts w:ascii="Calibri" w:hAnsi="Calibri" w:cs="Calibri"/>
          <w:lang w:eastAsia="en-NZ"/>
        </w:rPr>
        <w:t>,” the ministry noted.</w:t>
      </w:r>
    </w:p>
    <w:p w14:paraId="5F43E693" w14:textId="77777777" w:rsidR="00B90740" w:rsidRDefault="00B90740" w:rsidP="00B90740">
      <w:pPr>
        <w:rPr>
          <w:rFonts w:ascii="Calibri" w:hAnsi="Calibri" w:cs="Calibri"/>
          <w:lang w:eastAsia="en-NZ"/>
        </w:rPr>
      </w:pPr>
      <w:r>
        <w:rPr>
          <w:rFonts w:ascii="Calibri" w:hAnsi="Calibri" w:cs="Calibri"/>
          <w:lang w:eastAsia="en-NZ"/>
        </w:rPr>
        <w:t xml:space="preserve">At that time, there were </w:t>
      </w:r>
      <w:r w:rsidRPr="003E7C7A">
        <w:rPr>
          <w:rFonts w:ascii="Calibri" w:hAnsi="Calibri" w:cs="Calibri"/>
          <w:lang w:eastAsia="en-NZ"/>
        </w:rPr>
        <w:t>14 prescribed infringement offences and the associated infringement fees range</w:t>
      </w:r>
      <w:r>
        <w:rPr>
          <w:rFonts w:ascii="Calibri" w:hAnsi="Calibri" w:cs="Calibri"/>
          <w:lang w:eastAsia="en-NZ"/>
        </w:rPr>
        <w:t>d</w:t>
      </w:r>
      <w:r w:rsidRPr="003E7C7A">
        <w:rPr>
          <w:rFonts w:ascii="Calibri" w:hAnsi="Calibri" w:cs="Calibri"/>
          <w:lang w:eastAsia="en-NZ"/>
        </w:rPr>
        <w:t xml:space="preserve"> from $300 to $1000</w:t>
      </w:r>
      <w:r>
        <w:rPr>
          <w:rFonts w:ascii="Calibri" w:hAnsi="Calibri" w:cs="Calibri"/>
          <w:lang w:eastAsia="en-NZ"/>
        </w:rPr>
        <w:t>: for any offence.</w:t>
      </w:r>
    </w:p>
    <w:p w14:paraId="4AF17370" w14:textId="4344DD64" w:rsidR="00B90740" w:rsidRDefault="00B90740" w:rsidP="00B90740">
      <w:pPr>
        <w:rPr>
          <w:rFonts w:cs="Calibri"/>
          <w:lang w:eastAsia="en-NZ"/>
        </w:rPr>
      </w:pPr>
      <w:r w:rsidRPr="00FD2CEB">
        <w:rPr>
          <w:rFonts w:cs="Calibri"/>
          <w:lang w:eastAsia="en-NZ"/>
        </w:rPr>
        <w:lastRenderedPageBreak/>
        <w:t xml:space="preserve">Now, there is 15 prescribed infringement offences and the associated infringement fees </w:t>
      </w:r>
      <w:r>
        <w:rPr>
          <w:rFonts w:cs="Calibri"/>
          <w:lang w:eastAsia="en-NZ"/>
        </w:rPr>
        <w:t>for each single offence which (for an individual</w:t>
      </w:r>
      <w:r w:rsidRPr="00FD2CEB">
        <w:rPr>
          <w:rFonts w:cs="Calibri"/>
          <w:lang w:eastAsia="en-NZ"/>
        </w:rPr>
        <w:t>) can range from $600</w:t>
      </w:r>
      <w:r>
        <w:rPr>
          <w:rFonts w:cs="Calibri"/>
          <w:lang w:eastAsia="en-NZ"/>
        </w:rPr>
        <w:t>-$2000</w:t>
      </w:r>
      <w:r w:rsidRPr="00FD2CEB">
        <w:rPr>
          <w:rFonts w:cs="Calibri"/>
          <w:lang w:eastAsia="en-NZ"/>
        </w:rPr>
        <w:t xml:space="preserve"> to </w:t>
      </w:r>
      <w:r>
        <w:rPr>
          <w:rFonts w:cs="Calibri"/>
          <w:lang w:eastAsia="en-NZ"/>
        </w:rPr>
        <w:t>$1200-</w:t>
      </w:r>
      <w:r w:rsidRPr="00FD2CEB">
        <w:rPr>
          <w:rFonts w:cs="Calibri"/>
          <w:lang w:eastAsia="en-NZ"/>
        </w:rPr>
        <w:t>$4000 (</w:t>
      </w:r>
      <w:r>
        <w:rPr>
          <w:rFonts w:cs="Calibri"/>
          <w:lang w:eastAsia="en-NZ"/>
        </w:rPr>
        <w:t>for a company</w:t>
      </w:r>
      <w:r w:rsidRPr="00FD2CEB">
        <w:rPr>
          <w:rFonts w:cs="Calibri"/>
          <w:lang w:eastAsia="en-NZ"/>
        </w:rPr>
        <w:t>).</w:t>
      </w:r>
    </w:p>
    <w:p w14:paraId="21D81EAA" w14:textId="203ED774" w:rsidR="00566BEF" w:rsidRDefault="00566BEF" w:rsidP="00B90740">
      <w:pPr>
        <w:rPr>
          <w:rFonts w:cs="Calibri"/>
          <w:lang w:eastAsia="en-NZ"/>
        </w:rPr>
      </w:pPr>
      <w:r>
        <w:rPr>
          <w:rFonts w:cs="Calibri"/>
          <w:lang w:eastAsia="en-NZ"/>
        </w:rPr>
        <w:t>One fine, for companies, on a breach of ‘restrictions of land use’ rises 900% - from the original $300 to $3000.</w:t>
      </w:r>
    </w:p>
    <w:p w14:paraId="2BE667F4" w14:textId="77777777" w:rsidR="00B90740" w:rsidRPr="00301D23" w:rsidRDefault="00B90740" w:rsidP="00B90740">
      <w:pPr>
        <w:rPr>
          <w:rFonts w:cs="Calibri"/>
          <w:lang w:eastAsia="en-NZ"/>
        </w:rPr>
      </w:pPr>
      <w:r w:rsidRPr="00301D23">
        <w:rPr>
          <w:rFonts w:cs="Calibri"/>
          <w:lang w:eastAsia="en-NZ"/>
        </w:rPr>
        <w:t>There are three contraventions which could attract the maximum $4000 fines for a company; for releasing contaminants into the environment from industrial or trade premises; contravention of an abatement [desist] notice and contravention of a water shortage direction.</w:t>
      </w:r>
    </w:p>
    <w:p w14:paraId="412ED46E" w14:textId="77777777" w:rsidR="00B90740" w:rsidRDefault="00B90740" w:rsidP="00B90740">
      <w:pPr>
        <w:rPr>
          <w:rFonts w:cs="Calibri"/>
          <w:lang w:eastAsia="en-NZ"/>
        </w:rPr>
      </w:pPr>
      <w:r w:rsidRPr="00301D23">
        <w:rPr>
          <w:rFonts w:cs="Calibri"/>
          <w:lang w:eastAsia="en-NZ"/>
        </w:rPr>
        <w:t>The amended legislation also notes that if an individual or company</w:t>
      </w:r>
      <w:r>
        <w:rPr>
          <w:rFonts w:cs="Calibri"/>
          <w:lang w:eastAsia="en-NZ"/>
        </w:rPr>
        <w:t xml:space="preserve"> defends a fine in court and</w:t>
      </w:r>
      <w:r w:rsidRPr="00301D23">
        <w:rPr>
          <w:rFonts w:cs="Calibri"/>
          <w:lang w:eastAsia="en-NZ"/>
        </w:rPr>
        <w:t xml:space="preserve"> is found guilty of an offence, the court could potentially impose a penalty higher than the infringement fee and costs could also be imposed, in addition to any penalty</w:t>
      </w:r>
    </w:p>
    <w:p w14:paraId="3C98632B" w14:textId="77777777" w:rsidR="00B90740" w:rsidRDefault="00B90740" w:rsidP="00B90740">
      <w:pPr>
        <w:rPr>
          <w:rFonts w:cs="Calibri"/>
          <w:lang w:eastAsia="en-NZ"/>
        </w:rPr>
      </w:pPr>
      <w:r>
        <w:rPr>
          <w:rFonts w:cs="Calibri"/>
          <w:lang w:eastAsia="en-NZ"/>
        </w:rPr>
        <w:t xml:space="preserve">The mid-2023 review </w:t>
      </w:r>
      <w:r w:rsidRPr="00355B4E">
        <w:rPr>
          <w:rFonts w:cs="Calibri"/>
          <w:lang w:eastAsia="en-NZ"/>
        </w:rPr>
        <w:t>suggested that infringement fees should be higher for companies to provide a more effective deterrent for entities earning profit through their private use of public resources.</w:t>
      </w:r>
    </w:p>
    <w:p w14:paraId="3D212EFB" w14:textId="77777777" w:rsidR="00B90740" w:rsidRDefault="00B90740" w:rsidP="00B90740">
      <w:pPr>
        <w:rPr>
          <w:rFonts w:cs="Calibri"/>
          <w:lang w:eastAsia="en-NZ"/>
        </w:rPr>
      </w:pPr>
      <w:r w:rsidRPr="000D2D89">
        <w:rPr>
          <w:rFonts w:cs="Calibri"/>
          <w:lang w:eastAsia="en-NZ"/>
        </w:rPr>
        <w:t xml:space="preserve">The </w:t>
      </w:r>
      <w:r>
        <w:rPr>
          <w:rFonts w:cs="Calibri"/>
          <w:lang w:eastAsia="en-NZ"/>
        </w:rPr>
        <w:t xml:space="preserve">Ministry for the Environment said earlier this month the </w:t>
      </w:r>
      <w:r w:rsidRPr="000D2D89">
        <w:rPr>
          <w:rFonts w:cs="Calibri"/>
          <w:lang w:eastAsia="en-NZ"/>
        </w:rPr>
        <w:t>updates to the 1999 infringement offences regulations will increase infringement fees to ensure they are high enough to act as an effective deterrent.</w:t>
      </w:r>
    </w:p>
    <w:p w14:paraId="3D141C2A" w14:textId="77777777" w:rsidR="00B90740" w:rsidRPr="000D2D89" w:rsidRDefault="00B90740" w:rsidP="00B90740">
      <w:pPr>
        <w:rPr>
          <w:rFonts w:cs="Calibri"/>
          <w:lang w:eastAsia="en-NZ"/>
        </w:rPr>
      </w:pPr>
      <w:r w:rsidRPr="000D2D89">
        <w:rPr>
          <w:rFonts w:cs="Calibri"/>
          <w:lang w:eastAsia="en-NZ"/>
        </w:rPr>
        <w:t>The changes include:</w:t>
      </w:r>
    </w:p>
    <w:p w14:paraId="47894DF3" w14:textId="77777777" w:rsidR="00B90740" w:rsidRPr="000D2D89" w:rsidRDefault="00B90740" w:rsidP="00B90740">
      <w:pPr>
        <w:numPr>
          <w:ilvl w:val="0"/>
          <w:numId w:val="3"/>
        </w:numPr>
        <w:rPr>
          <w:rFonts w:cs="Calibri"/>
          <w:lang w:val="en-US" w:eastAsia="en-NZ"/>
        </w:rPr>
      </w:pPr>
      <w:r w:rsidRPr="000D2D89">
        <w:rPr>
          <w:rFonts w:cs="Calibri"/>
          <w:lang w:val="en-US" w:eastAsia="en-NZ"/>
        </w:rPr>
        <w:t>Increases to infringement fees for individuals.</w:t>
      </w:r>
    </w:p>
    <w:p w14:paraId="7980432F" w14:textId="77777777" w:rsidR="00B90740" w:rsidRPr="000D2D89" w:rsidRDefault="00B90740" w:rsidP="00B90740">
      <w:pPr>
        <w:numPr>
          <w:ilvl w:val="0"/>
          <w:numId w:val="3"/>
        </w:numPr>
        <w:rPr>
          <w:rFonts w:cs="Calibri"/>
          <w:lang w:val="en-US" w:eastAsia="en-NZ"/>
        </w:rPr>
      </w:pPr>
      <w:r w:rsidRPr="000D2D89">
        <w:rPr>
          <w:rFonts w:cs="Calibri"/>
          <w:lang w:val="en-US" w:eastAsia="en-NZ"/>
        </w:rPr>
        <w:t>The introduction of higher infringement fees for companies. </w:t>
      </w:r>
    </w:p>
    <w:p w14:paraId="489E4F18" w14:textId="77777777" w:rsidR="00B90740" w:rsidRPr="000D2D89" w:rsidRDefault="00B90740" w:rsidP="00B90740">
      <w:pPr>
        <w:numPr>
          <w:ilvl w:val="0"/>
          <w:numId w:val="3"/>
        </w:numPr>
        <w:rPr>
          <w:rFonts w:cs="Calibri"/>
          <w:lang w:val="en-US" w:eastAsia="en-NZ"/>
        </w:rPr>
      </w:pPr>
      <w:r w:rsidRPr="000D2D89">
        <w:rPr>
          <w:rFonts w:cs="Calibri"/>
          <w:lang w:val="en-US" w:eastAsia="en-NZ"/>
        </w:rPr>
        <w:t>The separation of the land use infringement offence into two different land use offences with different fees.</w:t>
      </w:r>
    </w:p>
    <w:p w14:paraId="7C4D30A5" w14:textId="77777777" w:rsidR="00B90740" w:rsidRPr="000D2D89" w:rsidRDefault="00B90740" w:rsidP="00B90740">
      <w:pPr>
        <w:numPr>
          <w:ilvl w:val="0"/>
          <w:numId w:val="3"/>
        </w:numPr>
        <w:rPr>
          <w:rFonts w:cs="Calibri"/>
          <w:lang w:val="en-US" w:eastAsia="en-NZ"/>
        </w:rPr>
      </w:pPr>
      <w:r w:rsidRPr="000D2D89">
        <w:rPr>
          <w:rFonts w:cs="Calibri"/>
          <w:lang w:val="en-US" w:eastAsia="en-NZ"/>
        </w:rPr>
        <w:t>Widening the scope of activities that are subject to infringement notices for dumping waste in coastal marine areas.</w:t>
      </w:r>
    </w:p>
    <w:p w14:paraId="38501D7B" w14:textId="77777777" w:rsidR="00B90740" w:rsidRDefault="00B90740" w:rsidP="00B90740">
      <w:pPr>
        <w:numPr>
          <w:ilvl w:val="0"/>
          <w:numId w:val="3"/>
        </w:numPr>
        <w:rPr>
          <w:rFonts w:cs="Calibri"/>
          <w:lang w:val="en-US" w:eastAsia="en-NZ"/>
        </w:rPr>
      </w:pPr>
      <w:r w:rsidRPr="000D2D89">
        <w:rPr>
          <w:rFonts w:cs="Calibri"/>
          <w:lang w:val="en-US" w:eastAsia="en-NZ"/>
        </w:rPr>
        <w:t>Changes to the summary of rights in the standard form for infringement and reminder notices to more clearly state the potential outcomes of seeking a court hearing to contest an infringement notice.</w:t>
      </w:r>
    </w:p>
    <w:p w14:paraId="7487D51E" w14:textId="77777777" w:rsidR="00B90740" w:rsidRPr="000D2D89" w:rsidRDefault="00B90740" w:rsidP="00B90740">
      <w:pPr>
        <w:rPr>
          <w:rFonts w:cs="Calibri"/>
          <w:lang w:val="en-US" w:eastAsia="en-NZ"/>
        </w:rPr>
      </w:pPr>
      <w:r>
        <w:rPr>
          <w:rFonts w:cs="Calibri"/>
          <w:lang w:val="en-US" w:eastAsia="en-NZ"/>
        </w:rPr>
        <w:t xml:space="preserve">Further details are here: </w:t>
      </w:r>
      <w:hyperlink r:id="rId7" w:history="1">
        <w:r w:rsidRPr="00FB50F2">
          <w:rPr>
            <w:rStyle w:val="Hyperlink"/>
            <w:rFonts w:cs="Calibri"/>
            <w:lang w:eastAsia="en-NZ"/>
          </w:rPr>
          <w:t>Infringement offences regulations | Ministry for the Environment</w:t>
        </w:r>
      </w:hyperlink>
    </w:p>
    <w:p w14:paraId="1A07CD26" w14:textId="77777777" w:rsidR="00B90740" w:rsidRDefault="00B90740" w:rsidP="00B90740">
      <w:pPr>
        <w:rPr>
          <w:rFonts w:cs="Calibri"/>
          <w:lang w:eastAsia="en-NZ"/>
        </w:rPr>
      </w:pPr>
    </w:p>
    <w:p w14:paraId="3855D7FD" w14:textId="77777777" w:rsidR="00B90740" w:rsidRPr="00E016AD" w:rsidRDefault="00B90740" w:rsidP="00B90740">
      <w:pPr>
        <w:rPr>
          <w:rFonts w:cstheme="minorHAnsi"/>
          <w:b/>
          <w:sz w:val="24"/>
          <w:szCs w:val="24"/>
        </w:rPr>
      </w:pPr>
      <w:r w:rsidRPr="00E016AD">
        <w:rPr>
          <w:rFonts w:cstheme="minorHAnsi"/>
          <w:b/>
          <w:sz w:val="24"/>
          <w:szCs w:val="24"/>
        </w:rPr>
        <w:t>Communications contact:</w:t>
      </w:r>
    </w:p>
    <w:p w14:paraId="504BCCB1" w14:textId="77777777" w:rsidR="00B90740" w:rsidRPr="00E016AD" w:rsidRDefault="00B90740" w:rsidP="00B90740">
      <w:pPr>
        <w:rPr>
          <w:rFonts w:cstheme="minorHAnsi"/>
          <w:b/>
          <w:sz w:val="24"/>
          <w:szCs w:val="24"/>
        </w:rPr>
      </w:pPr>
      <w:r w:rsidRPr="00E016AD">
        <w:rPr>
          <w:rFonts w:cstheme="minorHAnsi"/>
          <w:b/>
          <w:sz w:val="24"/>
          <w:szCs w:val="24"/>
        </w:rPr>
        <w:t>Simon Hartley</w:t>
      </w:r>
    </w:p>
    <w:p w14:paraId="06F87C98" w14:textId="77777777" w:rsidR="00B90740" w:rsidRPr="00E016AD" w:rsidRDefault="00B90740" w:rsidP="00B90740">
      <w:pPr>
        <w:spacing w:after="0" w:line="240" w:lineRule="auto"/>
        <w:rPr>
          <w:rFonts w:cstheme="minorHAnsi"/>
          <w:b/>
          <w:sz w:val="24"/>
          <w:szCs w:val="24"/>
        </w:rPr>
      </w:pPr>
      <w:r w:rsidRPr="00E016AD">
        <w:rPr>
          <w:rFonts w:cstheme="minorHAnsi"/>
          <w:b/>
          <w:sz w:val="24"/>
          <w:szCs w:val="24"/>
        </w:rPr>
        <w:t xml:space="preserve">Media </w:t>
      </w:r>
      <w:proofErr w:type="gramStart"/>
      <w:r w:rsidRPr="00E016AD">
        <w:rPr>
          <w:rFonts w:cstheme="minorHAnsi"/>
          <w:b/>
          <w:sz w:val="24"/>
          <w:szCs w:val="24"/>
        </w:rPr>
        <w:t>Lead</w:t>
      </w:r>
      <w:proofErr w:type="gramEnd"/>
    </w:p>
    <w:p w14:paraId="05D081FA" w14:textId="77777777" w:rsidR="00B90740" w:rsidRPr="00E016AD" w:rsidRDefault="00B90740" w:rsidP="00B90740">
      <w:pPr>
        <w:spacing w:after="0" w:line="240" w:lineRule="auto"/>
        <w:rPr>
          <w:rFonts w:cstheme="minorHAnsi"/>
          <w:b/>
          <w:sz w:val="24"/>
          <w:szCs w:val="24"/>
        </w:rPr>
      </w:pPr>
    </w:p>
    <w:p w14:paraId="2B17147C" w14:textId="77777777" w:rsidR="00B90740" w:rsidRPr="00E016AD" w:rsidRDefault="00D24A10" w:rsidP="00B90740">
      <w:pPr>
        <w:spacing w:after="0" w:line="240" w:lineRule="auto"/>
        <w:rPr>
          <w:rFonts w:cstheme="minorHAnsi"/>
          <w:b/>
          <w:sz w:val="24"/>
          <w:szCs w:val="24"/>
        </w:rPr>
      </w:pPr>
      <w:hyperlink r:id="rId8" w:history="1">
        <w:r w:rsidR="00B90740" w:rsidRPr="00E016AD">
          <w:rPr>
            <w:rStyle w:val="Hyperlink"/>
            <w:rFonts w:cstheme="minorHAnsi"/>
            <w:b/>
            <w:sz w:val="24"/>
            <w:szCs w:val="24"/>
          </w:rPr>
          <w:t>media@orc.govt.nz</w:t>
        </w:r>
      </w:hyperlink>
    </w:p>
    <w:p w14:paraId="2F79A985" w14:textId="77777777" w:rsidR="00B90740" w:rsidRPr="00E016AD" w:rsidRDefault="00B90740" w:rsidP="00B90740">
      <w:pPr>
        <w:rPr>
          <w:rFonts w:cstheme="minorHAnsi"/>
          <w:b/>
          <w:color w:val="034066"/>
          <w:sz w:val="24"/>
          <w:szCs w:val="24"/>
          <w:lang w:eastAsia="en-NZ"/>
        </w:rPr>
      </w:pPr>
    </w:p>
    <w:p w14:paraId="6969304D" w14:textId="77777777" w:rsidR="00B90740" w:rsidRPr="00EF2A73" w:rsidRDefault="00B90740" w:rsidP="00B90740">
      <w:pPr>
        <w:rPr>
          <w:rFonts w:cstheme="minorHAnsi"/>
          <w:b/>
          <w:sz w:val="24"/>
          <w:szCs w:val="24"/>
        </w:rPr>
      </w:pPr>
      <w:r w:rsidRPr="00E016AD">
        <w:rPr>
          <w:rFonts w:cstheme="minorHAnsi"/>
          <w:b/>
          <w:color w:val="034066"/>
          <w:sz w:val="24"/>
          <w:szCs w:val="24"/>
          <w:lang w:eastAsia="en-NZ"/>
        </w:rPr>
        <w:t>027 263 6994</w:t>
      </w:r>
    </w:p>
    <w:p w14:paraId="50F09B07" w14:textId="5A4B5822" w:rsidR="003D1A4B" w:rsidRPr="00EF2A73" w:rsidRDefault="003D1A4B">
      <w:pPr>
        <w:rPr>
          <w:rFonts w:cstheme="minorHAnsi"/>
          <w:b/>
          <w:sz w:val="24"/>
          <w:szCs w:val="24"/>
        </w:rPr>
      </w:pPr>
    </w:p>
    <w:sectPr w:rsidR="003D1A4B" w:rsidRPr="00EF2A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12A9"/>
    <w:multiLevelType w:val="multilevel"/>
    <w:tmpl w:val="26AA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036E5"/>
    <w:multiLevelType w:val="multilevel"/>
    <w:tmpl w:val="3864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4C0F8C"/>
    <w:multiLevelType w:val="multilevel"/>
    <w:tmpl w:val="410E3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3910329">
    <w:abstractNumId w:val="0"/>
  </w:num>
  <w:num w:numId="2" w16cid:durableId="2132355897">
    <w:abstractNumId w:val="1"/>
  </w:num>
  <w:num w:numId="3" w16cid:durableId="241791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2C"/>
    <w:rsid w:val="000D2D89"/>
    <w:rsid w:val="0012242C"/>
    <w:rsid w:val="001C4E99"/>
    <w:rsid w:val="00355B4E"/>
    <w:rsid w:val="003D1A4B"/>
    <w:rsid w:val="003F4462"/>
    <w:rsid w:val="00421DD8"/>
    <w:rsid w:val="00497302"/>
    <w:rsid w:val="00566BEF"/>
    <w:rsid w:val="00577A65"/>
    <w:rsid w:val="0066204A"/>
    <w:rsid w:val="0071230D"/>
    <w:rsid w:val="007320C3"/>
    <w:rsid w:val="007C1E72"/>
    <w:rsid w:val="0082488A"/>
    <w:rsid w:val="00876A6D"/>
    <w:rsid w:val="008D053E"/>
    <w:rsid w:val="009A11E0"/>
    <w:rsid w:val="009C0DA2"/>
    <w:rsid w:val="00AF012B"/>
    <w:rsid w:val="00B52C20"/>
    <w:rsid w:val="00B56D6D"/>
    <w:rsid w:val="00B90740"/>
    <w:rsid w:val="00BB6834"/>
    <w:rsid w:val="00CD0488"/>
    <w:rsid w:val="00CF535B"/>
    <w:rsid w:val="00D24A10"/>
    <w:rsid w:val="00D85143"/>
    <w:rsid w:val="00DA6076"/>
    <w:rsid w:val="00DD06D6"/>
    <w:rsid w:val="00DD12D6"/>
    <w:rsid w:val="00E37809"/>
    <w:rsid w:val="00E47936"/>
    <w:rsid w:val="00EF2A73"/>
    <w:rsid w:val="00F4323C"/>
    <w:rsid w:val="00FB50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9FEB"/>
  <w15:chartTrackingRefBased/>
  <w15:docId w15:val="{F725D1C9-FBC8-4CAF-9C8D-698E01D8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42C"/>
    <w:rPr>
      <w:kern w:val="0"/>
      <w14:ligatures w14:val="none"/>
    </w:rPr>
  </w:style>
  <w:style w:type="paragraph" w:styleId="Heading1">
    <w:name w:val="heading 1"/>
    <w:basedOn w:val="Normal"/>
    <w:next w:val="Normal"/>
    <w:link w:val="Heading1Char"/>
    <w:uiPriority w:val="9"/>
    <w:qFormat/>
    <w:rsid w:val="001224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4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4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4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4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4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4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4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4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4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4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4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4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4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4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4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4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42C"/>
    <w:rPr>
      <w:rFonts w:eastAsiaTheme="majorEastAsia" w:cstheme="majorBidi"/>
      <w:color w:val="272727" w:themeColor="text1" w:themeTint="D8"/>
    </w:rPr>
  </w:style>
  <w:style w:type="paragraph" w:styleId="Title">
    <w:name w:val="Title"/>
    <w:basedOn w:val="Normal"/>
    <w:next w:val="Normal"/>
    <w:link w:val="TitleChar"/>
    <w:uiPriority w:val="10"/>
    <w:qFormat/>
    <w:rsid w:val="00122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4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4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4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42C"/>
    <w:pPr>
      <w:spacing w:before="160"/>
      <w:jc w:val="center"/>
    </w:pPr>
    <w:rPr>
      <w:i/>
      <w:iCs/>
      <w:color w:val="404040" w:themeColor="text1" w:themeTint="BF"/>
    </w:rPr>
  </w:style>
  <w:style w:type="character" w:customStyle="1" w:styleId="QuoteChar">
    <w:name w:val="Quote Char"/>
    <w:basedOn w:val="DefaultParagraphFont"/>
    <w:link w:val="Quote"/>
    <w:uiPriority w:val="29"/>
    <w:rsid w:val="0012242C"/>
    <w:rPr>
      <w:i/>
      <w:iCs/>
      <w:color w:val="404040" w:themeColor="text1" w:themeTint="BF"/>
    </w:rPr>
  </w:style>
  <w:style w:type="paragraph" w:styleId="ListParagraph">
    <w:name w:val="List Paragraph"/>
    <w:basedOn w:val="Normal"/>
    <w:uiPriority w:val="34"/>
    <w:qFormat/>
    <w:rsid w:val="0012242C"/>
    <w:pPr>
      <w:ind w:left="720"/>
      <w:contextualSpacing/>
    </w:pPr>
  </w:style>
  <w:style w:type="character" w:styleId="IntenseEmphasis">
    <w:name w:val="Intense Emphasis"/>
    <w:basedOn w:val="DefaultParagraphFont"/>
    <w:uiPriority w:val="21"/>
    <w:qFormat/>
    <w:rsid w:val="0012242C"/>
    <w:rPr>
      <w:i/>
      <w:iCs/>
      <w:color w:val="0F4761" w:themeColor="accent1" w:themeShade="BF"/>
    </w:rPr>
  </w:style>
  <w:style w:type="paragraph" w:styleId="IntenseQuote">
    <w:name w:val="Intense Quote"/>
    <w:basedOn w:val="Normal"/>
    <w:next w:val="Normal"/>
    <w:link w:val="IntenseQuoteChar"/>
    <w:uiPriority w:val="30"/>
    <w:qFormat/>
    <w:rsid w:val="00122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42C"/>
    <w:rPr>
      <w:i/>
      <w:iCs/>
      <w:color w:val="0F4761" w:themeColor="accent1" w:themeShade="BF"/>
    </w:rPr>
  </w:style>
  <w:style w:type="character" w:styleId="IntenseReference">
    <w:name w:val="Intense Reference"/>
    <w:basedOn w:val="DefaultParagraphFont"/>
    <w:uiPriority w:val="32"/>
    <w:qFormat/>
    <w:rsid w:val="0012242C"/>
    <w:rPr>
      <w:b/>
      <w:bCs/>
      <w:smallCaps/>
      <w:color w:val="0F4761" w:themeColor="accent1" w:themeShade="BF"/>
      <w:spacing w:val="5"/>
    </w:rPr>
  </w:style>
  <w:style w:type="character" w:styleId="Hyperlink">
    <w:name w:val="Hyperlink"/>
    <w:basedOn w:val="DefaultParagraphFont"/>
    <w:uiPriority w:val="99"/>
    <w:unhideWhenUsed/>
    <w:rsid w:val="0012242C"/>
    <w:rPr>
      <w:color w:val="0000FF"/>
      <w:u w:val="single"/>
    </w:rPr>
  </w:style>
  <w:style w:type="character" w:styleId="UnresolvedMention">
    <w:name w:val="Unresolved Mention"/>
    <w:basedOn w:val="DefaultParagraphFont"/>
    <w:uiPriority w:val="99"/>
    <w:semiHidden/>
    <w:unhideWhenUsed/>
    <w:rsid w:val="00FB5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95088">
      <w:bodyDiv w:val="1"/>
      <w:marLeft w:val="0"/>
      <w:marRight w:val="0"/>
      <w:marTop w:val="0"/>
      <w:marBottom w:val="0"/>
      <w:divBdr>
        <w:top w:val="none" w:sz="0" w:space="0" w:color="auto"/>
        <w:left w:val="none" w:sz="0" w:space="0" w:color="auto"/>
        <w:bottom w:val="none" w:sz="0" w:space="0" w:color="auto"/>
        <w:right w:val="none" w:sz="0" w:space="0" w:color="auto"/>
      </w:divBdr>
      <w:divsChild>
        <w:div w:id="1232085751">
          <w:marLeft w:val="0"/>
          <w:marRight w:val="0"/>
          <w:marTop w:val="83"/>
          <w:marBottom w:val="0"/>
          <w:divBdr>
            <w:top w:val="none" w:sz="0" w:space="0" w:color="auto"/>
            <w:left w:val="none" w:sz="0" w:space="0" w:color="auto"/>
            <w:bottom w:val="none" w:sz="0" w:space="0" w:color="auto"/>
            <w:right w:val="none" w:sz="0" w:space="0" w:color="auto"/>
          </w:divBdr>
        </w:div>
        <w:div w:id="1915508115">
          <w:marLeft w:val="0"/>
          <w:marRight w:val="0"/>
          <w:marTop w:val="83"/>
          <w:marBottom w:val="0"/>
          <w:divBdr>
            <w:top w:val="none" w:sz="0" w:space="0" w:color="auto"/>
            <w:left w:val="none" w:sz="0" w:space="0" w:color="auto"/>
            <w:bottom w:val="none" w:sz="0" w:space="0" w:color="auto"/>
            <w:right w:val="none" w:sz="0" w:space="0" w:color="auto"/>
          </w:divBdr>
        </w:div>
      </w:divsChild>
    </w:div>
    <w:div w:id="504825048">
      <w:bodyDiv w:val="1"/>
      <w:marLeft w:val="0"/>
      <w:marRight w:val="0"/>
      <w:marTop w:val="0"/>
      <w:marBottom w:val="0"/>
      <w:divBdr>
        <w:top w:val="none" w:sz="0" w:space="0" w:color="auto"/>
        <w:left w:val="none" w:sz="0" w:space="0" w:color="auto"/>
        <w:bottom w:val="none" w:sz="0" w:space="0" w:color="auto"/>
        <w:right w:val="none" w:sz="0" w:space="0" w:color="auto"/>
      </w:divBdr>
    </w:div>
    <w:div w:id="535657546">
      <w:bodyDiv w:val="1"/>
      <w:marLeft w:val="0"/>
      <w:marRight w:val="0"/>
      <w:marTop w:val="0"/>
      <w:marBottom w:val="0"/>
      <w:divBdr>
        <w:top w:val="none" w:sz="0" w:space="0" w:color="auto"/>
        <w:left w:val="none" w:sz="0" w:space="0" w:color="auto"/>
        <w:bottom w:val="none" w:sz="0" w:space="0" w:color="auto"/>
        <w:right w:val="none" w:sz="0" w:space="0" w:color="auto"/>
      </w:divBdr>
      <w:divsChild>
        <w:div w:id="1728263353">
          <w:marLeft w:val="0"/>
          <w:marRight w:val="0"/>
          <w:marTop w:val="83"/>
          <w:marBottom w:val="0"/>
          <w:divBdr>
            <w:top w:val="none" w:sz="0" w:space="0" w:color="auto"/>
            <w:left w:val="none" w:sz="0" w:space="0" w:color="auto"/>
            <w:bottom w:val="none" w:sz="0" w:space="0" w:color="auto"/>
            <w:right w:val="none" w:sz="0" w:space="0" w:color="auto"/>
          </w:divBdr>
        </w:div>
        <w:div w:id="737441828">
          <w:marLeft w:val="0"/>
          <w:marRight w:val="0"/>
          <w:marTop w:val="83"/>
          <w:marBottom w:val="0"/>
          <w:divBdr>
            <w:top w:val="none" w:sz="0" w:space="0" w:color="auto"/>
            <w:left w:val="none" w:sz="0" w:space="0" w:color="auto"/>
            <w:bottom w:val="none" w:sz="0" w:space="0" w:color="auto"/>
            <w:right w:val="none" w:sz="0" w:space="0" w:color="auto"/>
          </w:divBdr>
        </w:div>
      </w:divsChild>
    </w:div>
    <w:div w:id="908921379">
      <w:bodyDiv w:val="1"/>
      <w:marLeft w:val="0"/>
      <w:marRight w:val="0"/>
      <w:marTop w:val="0"/>
      <w:marBottom w:val="0"/>
      <w:divBdr>
        <w:top w:val="none" w:sz="0" w:space="0" w:color="auto"/>
        <w:left w:val="none" w:sz="0" w:space="0" w:color="auto"/>
        <w:bottom w:val="none" w:sz="0" w:space="0" w:color="auto"/>
        <w:right w:val="none" w:sz="0" w:space="0" w:color="auto"/>
      </w:divBdr>
      <w:divsChild>
        <w:div w:id="110058855">
          <w:marLeft w:val="0"/>
          <w:marRight w:val="0"/>
          <w:marTop w:val="83"/>
          <w:marBottom w:val="0"/>
          <w:divBdr>
            <w:top w:val="none" w:sz="0" w:space="0" w:color="auto"/>
            <w:left w:val="none" w:sz="0" w:space="0" w:color="auto"/>
            <w:bottom w:val="none" w:sz="0" w:space="0" w:color="auto"/>
            <w:right w:val="none" w:sz="0" w:space="0" w:color="auto"/>
          </w:divBdr>
        </w:div>
        <w:div w:id="1691374729">
          <w:marLeft w:val="0"/>
          <w:marRight w:val="0"/>
          <w:marTop w:val="83"/>
          <w:marBottom w:val="0"/>
          <w:divBdr>
            <w:top w:val="none" w:sz="0" w:space="0" w:color="auto"/>
            <w:left w:val="none" w:sz="0" w:space="0" w:color="auto"/>
            <w:bottom w:val="none" w:sz="0" w:space="0" w:color="auto"/>
            <w:right w:val="none" w:sz="0" w:space="0" w:color="auto"/>
          </w:divBdr>
        </w:div>
      </w:divsChild>
    </w:div>
    <w:div w:id="981621267">
      <w:bodyDiv w:val="1"/>
      <w:marLeft w:val="0"/>
      <w:marRight w:val="0"/>
      <w:marTop w:val="0"/>
      <w:marBottom w:val="0"/>
      <w:divBdr>
        <w:top w:val="none" w:sz="0" w:space="0" w:color="auto"/>
        <w:left w:val="none" w:sz="0" w:space="0" w:color="auto"/>
        <w:bottom w:val="none" w:sz="0" w:space="0" w:color="auto"/>
        <w:right w:val="none" w:sz="0" w:space="0" w:color="auto"/>
      </w:divBdr>
    </w:div>
    <w:div w:id="1003825575">
      <w:bodyDiv w:val="1"/>
      <w:marLeft w:val="0"/>
      <w:marRight w:val="0"/>
      <w:marTop w:val="0"/>
      <w:marBottom w:val="0"/>
      <w:divBdr>
        <w:top w:val="none" w:sz="0" w:space="0" w:color="auto"/>
        <w:left w:val="none" w:sz="0" w:space="0" w:color="auto"/>
        <w:bottom w:val="none" w:sz="0" w:space="0" w:color="auto"/>
        <w:right w:val="none" w:sz="0" w:space="0" w:color="auto"/>
      </w:divBdr>
    </w:div>
    <w:div w:id="1018850776">
      <w:bodyDiv w:val="1"/>
      <w:marLeft w:val="0"/>
      <w:marRight w:val="0"/>
      <w:marTop w:val="0"/>
      <w:marBottom w:val="0"/>
      <w:divBdr>
        <w:top w:val="none" w:sz="0" w:space="0" w:color="auto"/>
        <w:left w:val="none" w:sz="0" w:space="0" w:color="auto"/>
        <w:bottom w:val="none" w:sz="0" w:space="0" w:color="auto"/>
        <w:right w:val="none" w:sz="0" w:space="0" w:color="auto"/>
      </w:divBdr>
      <w:divsChild>
        <w:div w:id="1020089625">
          <w:marLeft w:val="0"/>
          <w:marRight w:val="0"/>
          <w:marTop w:val="83"/>
          <w:marBottom w:val="0"/>
          <w:divBdr>
            <w:top w:val="none" w:sz="0" w:space="0" w:color="auto"/>
            <w:left w:val="none" w:sz="0" w:space="0" w:color="auto"/>
            <w:bottom w:val="none" w:sz="0" w:space="0" w:color="auto"/>
            <w:right w:val="none" w:sz="0" w:space="0" w:color="auto"/>
          </w:divBdr>
        </w:div>
        <w:div w:id="1144586792">
          <w:marLeft w:val="0"/>
          <w:marRight w:val="0"/>
          <w:marTop w:val="83"/>
          <w:marBottom w:val="0"/>
          <w:divBdr>
            <w:top w:val="none" w:sz="0" w:space="0" w:color="auto"/>
            <w:left w:val="none" w:sz="0" w:space="0" w:color="auto"/>
            <w:bottom w:val="none" w:sz="0" w:space="0" w:color="auto"/>
            <w:right w:val="none" w:sz="0" w:space="0" w:color="auto"/>
          </w:divBdr>
        </w:div>
      </w:divsChild>
    </w:div>
    <w:div w:id="18490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orc.govt.nz"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environment.govt.nz/acts-and-regulations/regulations/infringement-offences-regulation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F2F03D20CD34197EAEF7EE727DFDB" ma:contentTypeVersion="13" ma:contentTypeDescription="Create a new document." ma:contentTypeScope="" ma:versionID="869c1ba42b949183755cee3eef268562">
  <xsd:schema xmlns:xsd="http://www.w3.org/2001/XMLSchema" xmlns:xs="http://www.w3.org/2001/XMLSchema" xmlns:p="http://schemas.microsoft.com/office/2006/metadata/properties" xmlns:ns2="91ac7a98-5e41-435a-a25c-25a305d13394" xmlns:ns3="98969ad5-963f-4ddc-8c95-e39f77891d57" targetNamespace="http://schemas.microsoft.com/office/2006/metadata/properties" ma:root="true" ma:fieldsID="524179d4408975bb60e94d02d0f07b88" ns2:_="" ns3:_="">
    <xsd:import namespace="91ac7a98-5e41-435a-a25c-25a305d13394"/>
    <xsd:import namespace="98969ad5-963f-4ddc-8c95-e39f77891d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c7a98-5e41-435a-a25c-25a305d13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ef9d1f-e769-4ddf-a120-64dd4f41b4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69ad5-963f-4ddc-8c95-e39f77891d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2d026e-69a1-4f9d-aa64-85dd53b7a85c}" ma:internalName="TaxCatchAll" ma:showField="CatchAllData" ma:web="98969ad5-963f-4ddc-8c95-e39f77891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969ad5-963f-4ddc-8c95-e39f77891d57" xsi:nil="true"/>
    <lcf76f155ced4ddcb4097134ff3c332f xmlns="91ac7a98-5e41-435a-a25c-25a305d133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13BF76-CDEB-4FF5-A645-D36B7B32629D}"/>
</file>

<file path=customXml/itemProps2.xml><?xml version="1.0" encoding="utf-8"?>
<ds:datastoreItem xmlns:ds="http://schemas.openxmlformats.org/officeDocument/2006/customXml" ds:itemID="{2D7A0649-AB2C-4265-A994-08D47E3A5B55}"/>
</file>

<file path=customXml/itemProps3.xml><?xml version="1.0" encoding="utf-8"?>
<ds:datastoreItem xmlns:ds="http://schemas.openxmlformats.org/officeDocument/2006/customXml" ds:itemID="{209E700E-CB18-46FF-840C-C638DF3B1B50}"/>
</file>

<file path=docProps/app.xml><?xml version="1.0" encoding="utf-8"?>
<Properties xmlns="http://schemas.openxmlformats.org/officeDocument/2006/extended-properties" xmlns:vt="http://schemas.openxmlformats.org/officeDocument/2006/docPropsVTypes">
  <Template>Normal</Template>
  <TotalTime>302</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Otago Regional Council</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Hartley</dc:creator>
  <cp:keywords/>
  <dc:description/>
  <cp:lastModifiedBy>Simon Hartley</cp:lastModifiedBy>
  <cp:revision>27</cp:revision>
  <dcterms:created xsi:type="dcterms:W3CDTF">2025-08-19T03:39:00Z</dcterms:created>
  <dcterms:modified xsi:type="dcterms:W3CDTF">2025-08-28T00:00:00Z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0x010100693F2F03D20CD34197EAEF7EE727DFDB</vt:lpwstr>
  </property>
</Properties>
</file>